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A8B" w:rsidRDefault="00FA2A8B" w:rsidP="00FA2A8B">
      <w:pPr>
        <w:shd w:val="clear" w:color="auto" w:fill="FFFFFF"/>
        <w:spacing w:after="0" w:line="240" w:lineRule="auto"/>
        <w:jc w:val="both"/>
        <w:rPr>
          <w:rFonts w:ascii="Bookman Old Style" w:eastAsia="Times New Roman" w:hAnsi="Bookman Old Style" w:cs="Calibri"/>
          <w:color w:val="000000"/>
          <w:bdr w:val="none" w:sz="0" w:space="0" w:color="auto" w:frame="1"/>
          <w:shd w:val="clear" w:color="auto" w:fill="FFFFFF"/>
        </w:rPr>
      </w:pPr>
    </w:p>
    <w:p w:rsidR="00FA2A8B" w:rsidRDefault="00FA2A8B" w:rsidP="00FA2A8B">
      <w:pPr>
        <w:shd w:val="clear" w:color="auto" w:fill="FFFFFF"/>
        <w:spacing w:after="0" w:line="240" w:lineRule="auto"/>
        <w:jc w:val="both"/>
        <w:rPr>
          <w:rFonts w:ascii="Bookman Old Style" w:eastAsia="Times New Roman" w:hAnsi="Bookman Old Style" w:cs="Calibri"/>
          <w:color w:val="000000"/>
          <w:bdr w:val="none" w:sz="0" w:space="0" w:color="auto" w:frame="1"/>
          <w:shd w:val="clear" w:color="auto" w:fill="FFFFFF"/>
        </w:rPr>
      </w:pPr>
    </w:p>
    <w:p w:rsidR="00FA2A8B" w:rsidRDefault="00FA2A8B" w:rsidP="00FA2A8B">
      <w:pPr>
        <w:shd w:val="clear" w:color="auto" w:fill="FFFFFF"/>
        <w:spacing w:after="0" w:line="240" w:lineRule="auto"/>
        <w:jc w:val="both"/>
        <w:rPr>
          <w:rFonts w:ascii="Bookman Old Style" w:eastAsia="Times New Roman" w:hAnsi="Bookman Old Style" w:cs="Calibri"/>
          <w:color w:val="000000"/>
          <w:bdr w:val="none" w:sz="0" w:space="0" w:color="auto" w:frame="1"/>
          <w:shd w:val="clear" w:color="auto" w:fill="FFFFFF"/>
        </w:rPr>
      </w:pPr>
    </w:p>
    <w:p w:rsidR="00FA2A8B" w:rsidRDefault="00FA2A8B" w:rsidP="00FA2A8B">
      <w:pPr>
        <w:shd w:val="clear" w:color="auto" w:fill="FFFFFF"/>
        <w:spacing w:after="0" w:line="240" w:lineRule="auto"/>
        <w:jc w:val="both"/>
        <w:rPr>
          <w:rFonts w:ascii="Bookman Old Style" w:eastAsia="Times New Roman" w:hAnsi="Bookman Old Style" w:cs="Calibri"/>
          <w:color w:val="000000"/>
          <w:bdr w:val="none" w:sz="0" w:space="0" w:color="auto" w:frame="1"/>
          <w:shd w:val="clear" w:color="auto" w:fill="FFFFFF"/>
        </w:rPr>
      </w:pPr>
      <w:r w:rsidRPr="00FA2A8B">
        <w:rPr>
          <w:rFonts w:ascii="Bookman Old Style" w:eastAsia="Times New Roman" w:hAnsi="Bookman Old Style" w:cs="Calibri"/>
          <w:color w:val="000000"/>
          <w:bdr w:val="none" w:sz="0" w:space="0" w:color="auto" w:frame="1"/>
          <w:shd w:val="clear" w:color="auto" w:fill="FFFFFF"/>
        </w:rPr>
        <w:drawing>
          <wp:anchor distT="0" distB="0" distL="114300" distR="114300" simplePos="0" relativeHeight="251659264" behindDoc="1" locked="0" layoutInCell="1" allowOverlap="1">
            <wp:simplePos x="0" y="0"/>
            <wp:positionH relativeFrom="margin">
              <wp:posOffset>2594610</wp:posOffset>
            </wp:positionH>
            <wp:positionV relativeFrom="page">
              <wp:posOffset>504825</wp:posOffset>
            </wp:positionV>
            <wp:extent cx="742950" cy="1095375"/>
            <wp:effectExtent l="0" t="0" r="0" b="0"/>
            <wp:wrapTight wrapText="bothSides">
              <wp:wrapPolygon edited="0">
                <wp:start x="0" y="0"/>
                <wp:lineTo x="0" y="21061"/>
                <wp:lineTo x="21046" y="21061"/>
                <wp:lineTo x="21046" y="0"/>
                <wp:lineTo x="0" y="0"/>
              </wp:wrapPolygon>
            </wp:wrapTight>
            <wp:docPr id="10" name="Immagine 4" descr="LOGO AN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ANCI.jpg"/>
                    <pic:cNvPicPr>
                      <a:picLocks noChangeAspect="1" noChangeArrowheads="1"/>
                    </pic:cNvPicPr>
                  </pic:nvPicPr>
                  <pic:blipFill>
                    <a:blip r:embed="rId7" cstate="print"/>
                    <a:srcRect/>
                    <a:stretch>
                      <a:fillRect/>
                    </a:stretch>
                  </pic:blipFill>
                  <pic:spPr bwMode="auto">
                    <a:xfrm>
                      <a:off x="0" y="0"/>
                      <a:ext cx="742950" cy="1094105"/>
                    </a:xfrm>
                    <a:prstGeom prst="rect">
                      <a:avLst/>
                    </a:prstGeom>
                    <a:noFill/>
                    <a:ln w="9525">
                      <a:noFill/>
                      <a:miter lim="800000"/>
                      <a:headEnd/>
                      <a:tailEnd/>
                    </a:ln>
                  </pic:spPr>
                </pic:pic>
              </a:graphicData>
            </a:graphic>
          </wp:anchor>
        </w:drawing>
      </w:r>
    </w:p>
    <w:p w:rsidR="00FA2A8B" w:rsidRDefault="00FA2A8B" w:rsidP="00FA2A8B">
      <w:pPr>
        <w:shd w:val="clear" w:color="auto" w:fill="FFFFFF"/>
        <w:spacing w:after="0" w:line="240" w:lineRule="auto"/>
        <w:jc w:val="both"/>
        <w:rPr>
          <w:rFonts w:ascii="Bookman Old Style" w:eastAsia="Times New Roman" w:hAnsi="Bookman Old Style" w:cs="Calibri"/>
          <w:color w:val="000000"/>
          <w:bdr w:val="none" w:sz="0" w:space="0" w:color="auto" w:frame="1"/>
          <w:shd w:val="clear" w:color="auto" w:fill="FFFFFF"/>
        </w:rPr>
      </w:pPr>
    </w:p>
    <w:p w:rsidR="00FA2A8B" w:rsidRDefault="00FA2A8B" w:rsidP="00FA2A8B">
      <w:pPr>
        <w:shd w:val="clear" w:color="auto" w:fill="FFFFFF"/>
        <w:spacing w:after="0" w:line="240" w:lineRule="auto"/>
        <w:jc w:val="both"/>
        <w:rPr>
          <w:rFonts w:ascii="Bookman Old Style" w:eastAsia="Times New Roman" w:hAnsi="Bookman Old Style" w:cs="Calibri"/>
          <w:color w:val="000000"/>
          <w:bdr w:val="none" w:sz="0" w:space="0" w:color="auto" w:frame="1"/>
          <w:shd w:val="clear" w:color="auto" w:fill="FFFFFF"/>
        </w:rPr>
      </w:pPr>
    </w:p>
    <w:p w:rsidR="00FA2A8B" w:rsidRDefault="00FA2A8B" w:rsidP="00FA2A8B">
      <w:pPr>
        <w:shd w:val="clear" w:color="auto" w:fill="FFFFFF"/>
        <w:spacing w:after="0" w:line="240" w:lineRule="auto"/>
        <w:jc w:val="center"/>
        <w:rPr>
          <w:rFonts w:ascii="Bookman Old Style" w:eastAsia="Times New Roman" w:hAnsi="Bookman Old Style" w:cs="Calibri"/>
          <w:b/>
          <w:bCs/>
          <w:color w:val="000000"/>
          <w:sz w:val="28"/>
          <w:szCs w:val="28"/>
          <w:bdr w:val="none" w:sz="0" w:space="0" w:color="auto" w:frame="1"/>
          <w:shd w:val="clear" w:color="auto" w:fill="FFFFFF"/>
        </w:rPr>
      </w:pPr>
      <w:r w:rsidRPr="00FA2A8B">
        <w:rPr>
          <w:rFonts w:ascii="Bookman Old Style" w:eastAsia="Times New Roman" w:hAnsi="Bookman Old Style" w:cs="Calibri"/>
          <w:b/>
          <w:bCs/>
          <w:color w:val="000000"/>
          <w:sz w:val="28"/>
          <w:szCs w:val="28"/>
          <w:bdr w:val="none" w:sz="0" w:space="0" w:color="auto" w:frame="1"/>
          <w:shd w:val="clear" w:color="auto" w:fill="FFFFFF"/>
        </w:rPr>
        <w:t xml:space="preserve">PNRR M5C2 (Avviso pubblico n. 1/2022): </w:t>
      </w:r>
    </w:p>
    <w:p w:rsidR="00FA2A8B" w:rsidRPr="00FA2A8B" w:rsidRDefault="00FA2A8B" w:rsidP="00FA2A8B">
      <w:pPr>
        <w:shd w:val="clear" w:color="auto" w:fill="FFFFFF"/>
        <w:spacing w:after="0" w:line="240" w:lineRule="auto"/>
        <w:jc w:val="center"/>
        <w:rPr>
          <w:rFonts w:ascii="Bookman Old Style" w:eastAsia="Times New Roman" w:hAnsi="Bookman Old Style" w:cs="Calibri"/>
          <w:color w:val="000000"/>
          <w:sz w:val="28"/>
          <w:szCs w:val="28"/>
          <w:bdr w:val="none" w:sz="0" w:space="0" w:color="auto" w:frame="1"/>
          <w:shd w:val="clear" w:color="auto" w:fill="FFFFFF"/>
        </w:rPr>
      </w:pPr>
      <w:r w:rsidRPr="00FA2A8B">
        <w:rPr>
          <w:rFonts w:ascii="Bookman Old Style" w:eastAsia="Times New Roman" w:hAnsi="Bookman Old Style" w:cs="Calibri"/>
          <w:b/>
          <w:bCs/>
          <w:color w:val="000000"/>
          <w:sz w:val="28"/>
          <w:szCs w:val="28"/>
          <w:bdr w:val="none" w:sz="0" w:space="0" w:color="auto" w:frame="1"/>
          <w:shd w:val="clear" w:color="auto" w:fill="FFFFFF"/>
        </w:rPr>
        <w:t>prossimi adempimenti e webinar formativi/informativi</w:t>
      </w:r>
    </w:p>
    <w:p w:rsidR="00FA2A8B" w:rsidRDefault="00FA2A8B" w:rsidP="00FA2A8B">
      <w:pPr>
        <w:shd w:val="clear" w:color="auto" w:fill="FFFFFF"/>
        <w:spacing w:after="0" w:line="240" w:lineRule="auto"/>
        <w:jc w:val="both"/>
        <w:rPr>
          <w:rFonts w:ascii="Bookman Old Style" w:eastAsia="Times New Roman" w:hAnsi="Bookman Old Style" w:cs="Calibri"/>
          <w:color w:val="000000"/>
          <w:bdr w:val="none" w:sz="0" w:space="0" w:color="auto" w:frame="1"/>
          <w:shd w:val="clear" w:color="auto" w:fill="FFFFFF"/>
        </w:rPr>
      </w:pPr>
    </w:p>
    <w:p w:rsidR="00FA2A8B" w:rsidRDefault="00FA2A8B" w:rsidP="00FA2A8B">
      <w:pPr>
        <w:shd w:val="clear" w:color="auto" w:fill="FFFFFF"/>
        <w:spacing w:after="0" w:line="240" w:lineRule="auto"/>
        <w:jc w:val="center"/>
        <w:rPr>
          <w:rFonts w:ascii="Bookman Old Style" w:eastAsia="Times New Roman" w:hAnsi="Bookman Old Style" w:cs="Calibri"/>
          <w:color w:val="000000"/>
          <w:bdr w:val="none" w:sz="0" w:space="0" w:color="auto" w:frame="1"/>
          <w:shd w:val="clear" w:color="auto" w:fill="FFFFFF"/>
        </w:rPr>
      </w:pPr>
      <w:r>
        <w:rPr>
          <w:rFonts w:ascii="Bookman Old Style" w:eastAsia="Times New Roman" w:hAnsi="Bookman Old Style" w:cs="Calibri"/>
          <w:color w:val="000000"/>
          <w:bdr w:val="none" w:sz="0" w:space="0" w:color="auto" w:frame="1"/>
          <w:shd w:val="clear" w:color="auto" w:fill="FFFFFF"/>
        </w:rPr>
        <w:t>7 luglio 2022</w:t>
      </w:r>
    </w:p>
    <w:p w:rsidR="00FA2A8B" w:rsidRDefault="00FA2A8B" w:rsidP="00FA2A8B">
      <w:pPr>
        <w:shd w:val="clear" w:color="auto" w:fill="FFFFFF"/>
        <w:spacing w:after="0" w:line="240" w:lineRule="auto"/>
        <w:jc w:val="both"/>
        <w:rPr>
          <w:rFonts w:ascii="Bookman Old Style" w:eastAsia="Times New Roman" w:hAnsi="Bookman Old Style" w:cs="Calibri"/>
          <w:color w:val="000000"/>
          <w:bdr w:val="none" w:sz="0" w:space="0" w:color="auto" w:frame="1"/>
          <w:shd w:val="clear" w:color="auto" w:fill="FFFFFF"/>
        </w:rPr>
      </w:pP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Nel corso della riunione del 6 luglio scorso della Cabina di regia PNRR presso il Ministero del lavoro e delle politiche sociali, quest’ultimo ha fornito le seguenti importanti indicazioni sulla Missione 5 Componente 2: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Prossime tempistiche: </w:t>
      </w:r>
    </w:p>
    <w:p w:rsidR="00FA2A8B" w:rsidRPr="00FA2A8B" w:rsidRDefault="00FA2A8B" w:rsidP="00FA2A8B">
      <w:pPr>
        <w:numPr>
          <w:ilvl w:val="0"/>
          <w:numId w:val="1"/>
        </w:numPr>
        <w:shd w:val="clear" w:color="auto" w:fill="FFFFFF"/>
        <w:spacing w:after="0" w:line="240" w:lineRule="auto"/>
        <w:rPr>
          <w:rFonts w:ascii="Bookman Old Style" w:eastAsia="Times New Roman" w:hAnsi="Bookman Old Style" w:cs="Calibri"/>
          <w:color w:val="000000"/>
        </w:rPr>
      </w:pPr>
      <w:r w:rsidRPr="00FA2A8B">
        <w:rPr>
          <w:rFonts w:ascii="Bookman Old Style" w:eastAsia="Times New Roman" w:hAnsi="Bookman Old Style" w:cs="Calibri"/>
          <w:b/>
          <w:bCs/>
          <w:color w:val="000000"/>
          <w:bdr w:val="none" w:sz="0" w:space="0" w:color="auto" w:frame="1"/>
          <w:shd w:val="clear" w:color="auto" w:fill="FFFFFF"/>
        </w:rPr>
        <w:t>A partire dal 14 luglio</w:t>
      </w:r>
      <w:r w:rsidRPr="00FA2A8B">
        <w:rPr>
          <w:rFonts w:ascii="Bookman Old Style" w:eastAsia="Times New Roman" w:hAnsi="Bookman Old Style" w:cs="Calibri"/>
          <w:color w:val="000000"/>
          <w:bdr w:val="none" w:sz="0" w:space="0" w:color="auto" w:frame="1"/>
          <w:shd w:val="clear" w:color="auto" w:fill="FFFFFF"/>
        </w:rPr>
        <w:t> sarà possibile </w:t>
      </w:r>
      <w:r w:rsidRPr="00FA2A8B">
        <w:rPr>
          <w:rFonts w:ascii="Bookman Old Style" w:eastAsia="Times New Roman" w:hAnsi="Bookman Old Style" w:cs="Calibri"/>
          <w:color w:val="000000"/>
          <w:u w:val="single"/>
          <w:bdr w:val="none" w:sz="0" w:space="0" w:color="auto" w:frame="1"/>
          <w:shd w:val="clear" w:color="auto" w:fill="FFFFFF"/>
        </w:rPr>
        <w:t>caricare</w:t>
      </w:r>
      <w:r w:rsidRPr="00FA2A8B">
        <w:rPr>
          <w:rFonts w:ascii="Bookman Old Style" w:eastAsia="Times New Roman" w:hAnsi="Bookman Old Style" w:cs="Calibri"/>
          <w:color w:val="000000"/>
          <w:bdr w:val="none" w:sz="0" w:space="0" w:color="auto" w:frame="1"/>
          <w:shd w:val="clear" w:color="auto" w:fill="FFFFFF"/>
        </w:rPr>
        <w:t> sul gestionale online </w:t>
      </w:r>
      <w:r w:rsidRPr="00FA2A8B">
        <w:rPr>
          <w:rFonts w:ascii="Bookman Old Style" w:eastAsia="Times New Roman" w:hAnsi="Bookman Old Style" w:cs="Calibri"/>
          <w:color w:val="000000"/>
          <w:u w:val="single"/>
          <w:bdr w:val="none" w:sz="0" w:space="0" w:color="auto" w:frame="1"/>
          <w:shd w:val="clear" w:color="auto" w:fill="FFFFFF"/>
        </w:rPr>
        <w:t>le Schede progetto relative alle linee di finanziamento 1.1 e 1.2</w:t>
      </w:r>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numPr>
          <w:ilvl w:val="0"/>
          <w:numId w:val="1"/>
        </w:numPr>
        <w:shd w:val="clear" w:color="auto" w:fill="FFFFFF"/>
        <w:spacing w:after="0" w:line="240" w:lineRule="auto"/>
        <w:rPr>
          <w:rFonts w:ascii="Bookman Old Style" w:eastAsia="Times New Roman" w:hAnsi="Bookman Old Style" w:cs="Calibri"/>
          <w:color w:val="000000"/>
        </w:rPr>
      </w:pPr>
      <w:r w:rsidRPr="00FA2A8B">
        <w:rPr>
          <w:rFonts w:ascii="Bookman Old Style" w:eastAsia="Times New Roman" w:hAnsi="Bookman Old Style" w:cs="Calibri"/>
          <w:b/>
          <w:bCs/>
          <w:color w:val="000000"/>
          <w:bdr w:val="none" w:sz="0" w:space="0" w:color="auto" w:frame="1"/>
          <w:shd w:val="clear" w:color="auto" w:fill="FFFFFF"/>
        </w:rPr>
        <w:t>A partire dal 3 agosto</w:t>
      </w:r>
      <w:r w:rsidRPr="00FA2A8B">
        <w:rPr>
          <w:rFonts w:ascii="Bookman Old Style" w:eastAsia="Times New Roman" w:hAnsi="Bookman Old Style" w:cs="Calibri"/>
          <w:color w:val="000000"/>
          <w:bdr w:val="none" w:sz="0" w:space="0" w:color="auto" w:frame="1"/>
          <w:shd w:val="clear" w:color="auto" w:fill="FFFFFF"/>
        </w:rPr>
        <w:t> sarà possibile </w:t>
      </w:r>
      <w:r w:rsidRPr="00FA2A8B">
        <w:rPr>
          <w:rFonts w:ascii="Bookman Old Style" w:eastAsia="Times New Roman" w:hAnsi="Bookman Old Style" w:cs="Calibri"/>
          <w:color w:val="000000"/>
          <w:u w:val="single"/>
          <w:bdr w:val="none" w:sz="0" w:space="0" w:color="auto" w:frame="1"/>
          <w:shd w:val="clear" w:color="auto" w:fill="FFFFFF"/>
        </w:rPr>
        <w:t>caricare</w:t>
      </w:r>
      <w:r w:rsidRPr="00FA2A8B">
        <w:rPr>
          <w:rFonts w:ascii="Bookman Old Style" w:eastAsia="Times New Roman" w:hAnsi="Bookman Old Style" w:cs="Calibri"/>
          <w:color w:val="000000"/>
          <w:bdr w:val="none" w:sz="0" w:space="0" w:color="auto" w:frame="1"/>
          <w:shd w:val="clear" w:color="auto" w:fill="FFFFFF"/>
        </w:rPr>
        <w:t> sul gestionale online </w:t>
      </w:r>
      <w:r w:rsidRPr="00FA2A8B">
        <w:rPr>
          <w:rFonts w:ascii="Bookman Old Style" w:eastAsia="Times New Roman" w:hAnsi="Bookman Old Style" w:cs="Calibri"/>
          <w:color w:val="000000"/>
          <w:u w:val="single"/>
          <w:bdr w:val="none" w:sz="0" w:space="0" w:color="auto" w:frame="1"/>
          <w:shd w:val="clear" w:color="auto" w:fill="FFFFFF"/>
        </w:rPr>
        <w:t>le Schede progetto relative alla linea 1.3</w:t>
      </w:r>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numPr>
          <w:ilvl w:val="0"/>
          <w:numId w:val="1"/>
        </w:numPr>
        <w:shd w:val="clear" w:color="auto" w:fill="FFFFFF"/>
        <w:spacing w:after="0" w:line="240" w:lineRule="auto"/>
        <w:rPr>
          <w:rFonts w:ascii="Bookman Old Style" w:eastAsia="Times New Roman" w:hAnsi="Bookman Old Style" w:cs="Calibri"/>
          <w:color w:val="000000"/>
        </w:rPr>
      </w:pPr>
      <w:r w:rsidRPr="00FA2A8B">
        <w:rPr>
          <w:rFonts w:ascii="Bookman Old Style" w:eastAsia="Times New Roman" w:hAnsi="Bookman Old Style" w:cs="Calibri"/>
          <w:color w:val="000000"/>
          <w:u w:val="single"/>
          <w:bdr w:val="none" w:sz="0" w:space="0" w:color="auto" w:frame="1"/>
          <w:shd w:val="clear" w:color="auto" w:fill="FFFFFF"/>
        </w:rPr>
        <w:t>Scadenza per il caricamento online dei progetti relativi alla linea 1.2</w:t>
      </w:r>
      <w:r w:rsidRPr="00FA2A8B">
        <w:rPr>
          <w:rFonts w:ascii="Bookman Old Style" w:eastAsia="Times New Roman" w:hAnsi="Bookman Old Style" w:cs="Calibri"/>
          <w:color w:val="000000"/>
          <w:bdr w:val="none" w:sz="0" w:space="0" w:color="auto" w:frame="1"/>
          <w:shd w:val="clear" w:color="auto" w:fill="FFFFFF"/>
        </w:rPr>
        <w:t>: </w:t>
      </w:r>
      <w:r w:rsidRPr="00FA2A8B">
        <w:rPr>
          <w:rFonts w:ascii="Bookman Old Style" w:eastAsia="Times New Roman" w:hAnsi="Bookman Old Style" w:cs="Calibri"/>
          <w:b/>
          <w:bCs/>
          <w:color w:val="000000"/>
          <w:bdr w:val="none" w:sz="0" w:space="0" w:color="auto" w:frame="1"/>
          <w:shd w:val="clear" w:color="auto" w:fill="FFFFFF"/>
        </w:rPr>
        <w:t>31 luglio 2022</w:t>
      </w:r>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numPr>
          <w:ilvl w:val="0"/>
          <w:numId w:val="1"/>
        </w:numPr>
        <w:shd w:val="clear" w:color="auto" w:fill="FFFFFF"/>
        <w:spacing w:after="0" w:line="240" w:lineRule="auto"/>
        <w:rPr>
          <w:rFonts w:ascii="Bookman Old Style" w:eastAsia="Times New Roman" w:hAnsi="Bookman Old Style" w:cs="Calibri"/>
          <w:color w:val="000000"/>
        </w:rPr>
      </w:pPr>
      <w:r w:rsidRPr="00FA2A8B">
        <w:rPr>
          <w:rFonts w:ascii="Bookman Old Style" w:eastAsia="Times New Roman" w:hAnsi="Bookman Old Style" w:cs="Calibri"/>
          <w:color w:val="000000"/>
          <w:u w:val="single"/>
          <w:bdr w:val="none" w:sz="0" w:space="0" w:color="auto" w:frame="1"/>
          <w:shd w:val="clear" w:color="auto" w:fill="FFFFFF"/>
        </w:rPr>
        <w:t>Scadenza per il caricamento online dei progetti relativi alle linee 1.1 e 1.3</w:t>
      </w:r>
      <w:r w:rsidRPr="00FA2A8B">
        <w:rPr>
          <w:rFonts w:ascii="Bookman Old Style" w:eastAsia="Times New Roman" w:hAnsi="Bookman Old Style" w:cs="Calibri"/>
          <w:color w:val="000000"/>
          <w:bdr w:val="none" w:sz="0" w:space="0" w:color="auto" w:frame="1"/>
          <w:shd w:val="clear" w:color="auto" w:fill="FFFFFF"/>
        </w:rPr>
        <w:t>: </w:t>
      </w:r>
      <w:r w:rsidRPr="00FA2A8B">
        <w:rPr>
          <w:rFonts w:ascii="Bookman Old Style" w:eastAsia="Times New Roman" w:hAnsi="Bookman Old Style" w:cs="Calibri"/>
          <w:b/>
          <w:bCs/>
          <w:color w:val="000000"/>
          <w:bdr w:val="none" w:sz="0" w:space="0" w:color="auto" w:frame="1"/>
          <w:shd w:val="clear" w:color="auto" w:fill="FFFFFF"/>
        </w:rPr>
        <w:t>10 agosto 2022</w:t>
      </w:r>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Il Ministero intende procedere alla verifica di coerenza delle Schede progettuali con le Regioni man mano che tali Schede verranno caricate online dagli Ambiti territoriali, in modo da richiedere a questi ultimi, laddove necessario, </w:t>
      </w:r>
      <w:r w:rsidRPr="00FA2A8B">
        <w:rPr>
          <w:rFonts w:ascii="Bookman Old Style" w:eastAsia="Times New Roman" w:hAnsi="Bookman Old Style" w:cs="Calibri"/>
          <w:b/>
          <w:bCs/>
          <w:color w:val="000000"/>
          <w:u w:val="single"/>
          <w:bdr w:val="none" w:sz="0" w:space="0" w:color="auto" w:frame="1"/>
          <w:shd w:val="clear" w:color="auto" w:fill="FFFFFF"/>
        </w:rPr>
        <w:t>entro le prime due settimane di agosto l’eventuale integrazione della documentazione</w:t>
      </w:r>
      <w:r w:rsidRPr="00FA2A8B">
        <w:rPr>
          <w:rFonts w:ascii="Bookman Old Style" w:eastAsia="Times New Roman" w:hAnsi="Bookman Old Style" w:cs="Calibri"/>
          <w:color w:val="000000"/>
          <w:bdr w:val="none" w:sz="0" w:space="0" w:color="auto" w:frame="1"/>
          <w:shd w:val="clear" w:color="auto" w:fill="FFFFFF"/>
        </w:rPr>
        <w:t>, per poter procedere quanto prima al Convenzionamento (il Ministero sta predisponendo i </w:t>
      </w:r>
      <w:r w:rsidRPr="00FA2A8B">
        <w:rPr>
          <w:rFonts w:ascii="Bookman Old Style" w:eastAsia="Times New Roman" w:hAnsi="Bookman Old Style" w:cs="Calibri"/>
          <w:b/>
          <w:bCs/>
          <w:color w:val="000000"/>
          <w:bdr w:val="none" w:sz="0" w:space="0" w:color="auto" w:frame="1"/>
          <w:shd w:val="clear" w:color="auto" w:fill="FFFFFF"/>
        </w:rPr>
        <w:t>format di Convenzione</w:t>
      </w:r>
      <w:r w:rsidRPr="00FA2A8B">
        <w:rPr>
          <w:rFonts w:ascii="Bookman Old Style" w:eastAsia="Times New Roman" w:hAnsi="Bookman Old Style" w:cs="Calibri"/>
          <w:color w:val="000000"/>
          <w:bdr w:val="none" w:sz="0" w:space="0" w:color="auto" w:frame="1"/>
          <w:shd w:val="clear" w:color="auto" w:fill="FFFFFF"/>
        </w:rPr>
        <w:t> relativi alle diverse linee di finanziamento).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Il PNRR prevede un </w:t>
      </w:r>
      <w:r w:rsidRPr="00FA2A8B">
        <w:rPr>
          <w:rFonts w:ascii="Bookman Old Style" w:eastAsia="Times New Roman" w:hAnsi="Bookman Old Style" w:cs="Calibri"/>
          <w:b/>
          <w:bCs/>
          <w:color w:val="000000"/>
          <w:u w:val="single"/>
          <w:bdr w:val="none" w:sz="0" w:space="0" w:color="auto" w:frame="1"/>
          <w:shd w:val="clear" w:color="auto" w:fill="FFFFFF"/>
        </w:rPr>
        <w:t>target specifico per l’Investimento 1.2</w:t>
      </w:r>
      <w:r w:rsidRPr="00FA2A8B">
        <w:rPr>
          <w:rFonts w:ascii="Bookman Old Style" w:eastAsia="Times New Roman" w:hAnsi="Bookman Old Style" w:cs="Calibri"/>
          <w:b/>
          <w:bCs/>
          <w:color w:val="000000"/>
          <w:bdr w:val="none" w:sz="0" w:space="0" w:color="auto" w:frame="1"/>
          <w:shd w:val="clear" w:color="auto" w:fill="FFFFFF"/>
        </w:rPr>
        <w:t>: </w:t>
      </w:r>
      <w:r w:rsidRPr="00FA2A8B">
        <w:rPr>
          <w:rFonts w:ascii="Bookman Old Style" w:eastAsia="Times New Roman" w:hAnsi="Bookman Old Style" w:cs="Calibri"/>
          <w:b/>
          <w:bCs/>
          <w:color w:val="000000"/>
          <w:u w:val="single"/>
          <w:bdr w:val="none" w:sz="0" w:space="0" w:color="auto" w:frame="1"/>
          <w:shd w:val="clear" w:color="auto" w:fill="FFFFFF"/>
        </w:rPr>
        <w:t>entro il 31 dicembre 2022</w:t>
      </w:r>
      <w:r w:rsidRPr="00FA2A8B">
        <w:rPr>
          <w:rFonts w:ascii="Bookman Old Style" w:eastAsia="Times New Roman" w:hAnsi="Bookman Old Style" w:cs="Calibri"/>
          <w:color w:val="000000"/>
          <w:bdr w:val="none" w:sz="0" w:space="0" w:color="auto" w:frame="1"/>
          <w:shd w:val="clear" w:color="auto" w:fill="FFFFFF"/>
        </w:rPr>
        <w:t> è necessario che sia stato avviato </w:t>
      </w:r>
      <w:r w:rsidRPr="00FA2A8B">
        <w:rPr>
          <w:rFonts w:ascii="Bookman Old Style" w:eastAsia="Times New Roman" w:hAnsi="Bookman Old Style" w:cs="Calibri"/>
          <w:b/>
          <w:bCs/>
          <w:color w:val="000000"/>
          <w:bdr w:val="none" w:sz="0" w:space="0" w:color="auto" w:frame="1"/>
          <w:shd w:val="clear" w:color="auto" w:fill="FFFFFF"/>
        </w:rPr>
        <w:t>almeno 1 progetto da parte di almeno 500 Ambiti</w:t>
      </w:r>
      <w:r w:rsidRPr="00FA2A8B">
        <w:rPr>
          <w:rFonts w:ascii="Bookman Old Style" w:eastAsia="Times New Roman" w:hAnsi="Bookman Old Style" w:cs="Calibri"/>
          <w:color w:val="000000"/>
          <w:bdr w:val="none" w:sz="0" w:space="0" w:color="auto" w:frame="1"/>
          <w:shd w:val="clear" w:color="auto" w:fill="FFFFFF"/>
        </w:rPr>
        <w:t> (al momento, sono stati ammessi al finanziamento 588 progetti, distribuiti su 468 Ambiti: al fine di colmare il gap esistente, sarà valutata la possibilità di attenuare il target e di riaprire l’Avviso pubblico per tale linea di finanziamento). In particolare, il Ministero ha chiarito che </w:t>
      </w:r>
      <w:r w:rsidRPr="00FA2A8B">
        <w:rPr>
          <w:rFonts w:ascii="Bookman Old Style" w:eastAsia="Times New Roman" w:hAnsi="Bookman Old Style" w:cs="Calibri"/>
          <w:b/>
          <w:bCs/>
          <w:color w:val="000000"/>
          <w:u w:val="single"/>
          <w:bdr w:val="none" w:sz="0" w:space="0" w:color="auto" w:frame="1"/>
          <w:shd w:val="clear" w:color="auto" w:fill="FFFFFF"/>
        </w:rPr>
        <w:t>le attività da avviare prioritariamente riguardano l’individuazione della platea e la definizione e sottoscrizione dei progetti individualizzati</w:t>
      </w:r>
      <w:r w:rsidRPr="00FA2A8B">
        <w:rPr>
          <w:rFonts w:ascii="Bookman Old Style" w:eastAsia="Times New Roman" w:hAnsi="Bookman Old Style" w:cs="Calibri"/>
          <w:color w:val="000000"/>
          <w:bdr w:val="none" w:sz="0" w:space="0" w:color="auto" w:frame="1"/>
          <w:shd w:val="clear" w:color="auto" w:fill="FFFFFF"/>
        </w:rPr>
        <w:t>. </w:t>
      </w:r>
      <w:r w:rsidRPr="00FA2A8B">
        <w:rPr>
          <w:rFonts w:ascii="Bookman Old Style" w:eastAsia="Times New Roman" w:hAnsi="Bookman Old Style" w:cs="Calibri"/>
          <w:b/>
          <w:bCs/>
          <w:color w:val="000000"/>
          <w:bdr w:val="none" w:sz="0" w:space="0" w:color="auto" w:frame="1"/>
          <w:shd w:val="clear" w:color="auto" w:fill="FFFFFF"/>
        </w:rPr>
        <w:t>Verrà quindi data priorità al Convenzionamento per i progetti relativi a tale linea</w:t>
      </w:r>
      <w:r w:rsidRPr="00FA2A8B">
        <w:rPr>
          <w:rFonts w:ascii="Bookman Old Style" w:eastAsia="Times New Roman" w:hAnsi="Bookman Old Style" w:cs="Calibri"/>
          <w:color w:val="000000"/>
          <w:bdr w:val="none" w:sz="0" w:space="0" w:color="auto" w:frame="1"/>
          <w:shd w:val="clear" w:color="auto" w:fill="FFFFFF"/>
        </w:rPr>
        <w:t> di finanziamento, </w:t>
      </w:r>
      <w:r w:rsidRPr="00FA2A8B">
        <w:rPr>
          <w:rFonts w:ascii="Bookman Old Style" w:eastAsia="Times New Roman" w:hAnsi="Bookman Old Style" w:cs="Calibri"/>
          <w:b/>
          <w:bCs/>
          <w:color w:val="000000"/>
          <w:bdr w:val="none" w:sz="0" w:space="0" w:color="auto" w:frame="1"/>
          <w:shd w:val="clear" w:color="auto" w:fill="FFFFFF"/>
        </w:rPr>
        <w:t>che </w:t>
      </w:r>
      <w:r w:rsidRPr="00FA2A8B">
        <w:rPr>
          <w:rFonts w:ascii="Bookman Old Style" w:eastAsia="Times New Roman" w:hAnsi="Bookman Old Style" w:cs="Calibri"/>
          <w:b/>
          <w:bCs/>
          <w:color w:val="000000"/>
          <w:u w:val="single"/>
          <w:bdr w:val="none" w:sz="0" w:space="0" w:color="auto" w:frame="1"/>
          <w:shd w:val="clear" w:color="auto" w:fill="FFFFFF"/>
        </w:rPr>
        <w:t>gli Ambiti sono invitati a caricare sul gestionale ministeriale quanto prima</w:t>
      </w:r>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Una volta concluso il caricamento dei progetti sul gestionale del Ministero del lavoro, tutte le attività gestionali saranno dislocate sul </w:t>
      </w:r>
      <w:r w:rsidRPr="00FA2A8B">
        <w:rPr>
          <w:rFonts w:ascii="Bookman Old Style" w:eastAsia="Times New Roman" w:hAnsi="Bookman Old Style" w:cs="Calibri"/>
          <w:b/>
          <w:bCs/>
          <w:color w:val="000000"/>
          <w:bdr w:val="none" w:sz="0" w:space="0" w:color="auto" w:frame="1"/>
          <w:shd w:val="clear" w:color="auto" w:fill="FFFFFF"/>
        </w:rPr>
        <w:t>sistema Regis</w:t>
      </w:r>
      <w:r w:rsidRPr="00FA2A8B">
        <w:rPr>
          <w:rFonts w:ascii="Bookman Old Style" w:eastAsia="Times New Roman" w:hAnsi="Bookman Old Style" w:cs="Calibri"/>
          <w:color w:val="000000"/>
          <w:bdr w:val="none" w:sz="0" w:space="0" w:color="auto" w:frame="1"/>
          <w:shd w:val="clear" w:color="auto" w:fill="FFFFFF"/>
        </w:rPr>
        <w:t> del MEF, su cui verrà realizzata una </w:t>
      </w:r>
      <w:r w:rsidRPr="00FA2A8B">
        <w:rPr>
          <w:rFonts w:ascii="Bookman Old Style" w:eastAsia="Times New Roman" w:hAnsi="Bookman Old Style" w:cs="Calibri"/>
          <w:b/>
          <w:bCs/>
          <w:color w:val="000000"/>
          <w:bdr w:val="none" w:sz="0" w:space="0" w:color="auto" w:frame="1"/>
          <w:shd w:val="clear" w:color="auto" w:fill="FFFFFF"/>
        </w:rPr>
        <w:t>formazione specifica agli Ambiti ai fini della rendicontazione</w:t>
      </w:r>
      <w:r w:rsidRPr="00FA2A8B">
        <w:rPr>
          <w:rFonts w:ascii="Bookman Old Style" w:eastAsia="Times New Roman" w:hAnsi="Bookman Old Style" w:cs="Calibri"/>
          <w:color w:val="000000"/>
          <w:bdr w:val="none" w:sz="0" w:space="0" w:color="auto" w:frame="1"/>
          <w:shd w:val="clear" w:color="auto" w:fill="FFFFFF"/>
        </w:rPr>
        <w:t> delle attività.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Entro metà della prossima settimana il Ministero diffonderà una </w:t>
      </w:r>
      <w:r w:rsidRPr="00FA2A8B">
        <w:rPr>
          <w:rFonts w:ascii="Bookman Old Style" w:eastAsia="Times New Roman" w:hAnsi="Bookman Old Style" w:cs="Calibri"/>
          <w:b/>
          <w:bCs/>
          <w:color w:val="000000"/>
          <w:bdr w:val="none" w:sz="0" w:space="0" w:color="auto" w:frame="1"/>
          <w:shd w:val="clear" w:color="auto" w:fill="FFFFFF"/>
        </w:rPr>
        <w:t>circolare esplicativa</w:t>
      </w:r>
      <w:r w:rsidRPr="00FA2A8B">
        <w:rPr>
          <w:rFonts w:ascii="Bookman Old Style" w:eastAsia="Times New Roman" w:hAnsi="Bookman Old Style" w:cs="Calibri"/>
          <w:color w:val="000000"/>
          <w:bdr w:val="none" w:sz="0" w:space="0" w:color="auto" w:frame="1"/>
          <w:shd w:val="clear" w:color="auto" w:fill="FFFFFF"/>
        </w:rPr>
        <w:t> delle suddette tempistiche.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Da parte di Anci, dei Comuni presenti e delle Regioni è stata sottolineata ancora una volta la necessità di fornire agli Ambiti un supporto operativo ma soprattutto amministrativo. In particolare, Anci ha espresso la richiesta di fornire loro un’</w:t>
      </w:r>
      <w:r w:rsidRPr="00FA2A8B">
        <w:rPr>
          <w:rFonts w:ascii="Bookman Old Style" w:eastAsia="Times New Roman" w:hAnsi="Bookman Old Style" w:cs="Calibri"/>
          <w:b/>
          <w:bCs/>
          <w:color w:val="000000"/>
          <w:bdr w:val="none" w:sz="0" w:space="0" w:color="auto" w:frame="1"/>
          <w:shd w:val="clear" w:color="auto" w:fill="FFFFFF"/>
        </w:rPr>
        <w:t xml:space="preserve">assistenza </w:t>
      </w:r>
      <w:r w:rsidRPr="00FA2A8B">
        <w:rPr>
          <w:rFonts w:ascii="Bookman Old Style" w:eastAsia="Times New Roman" w:hAnsi="Bookman Old Style" w:cs="Calibri"/>
          <w:b/>
          <w:bCs/>
          <w:color w:val="000000"/>
          <w:bdr w:val="none" w:sz="0" w:space="0" w:color="auto" w:frame="1"/>
          <w:shd w:val="clear" w:color="auto" w:fill="FFFFFF"/>
        </w:rPr>
        <w:lastRenderedPageBreak/>
        <w:t>tecnica</w:t>
      </w:r>
      <w:r w:rsidRPr="00FA2A8B">
        <w:rPr>
          <w:rFonts w:ascii="Bookman Old Style" w:eastAsia="Times New Roman" w:hAnsi="Bookman Old Style" w:cs="Calibri"/>
          <w:color w:val="000000"/>
          <w:bdr w:val="none" w:sz="0" w:space="0" w:color="auto" w:frame="1"/>
          <w:shd w:val="clear" w:color="auto" w:fill="FFFFFF"/>
        </w:rPr>
        <w:t> in tempo reale, data la ristrettezza dei tempi, al fine di garantire il rispetto delle scadenze. Il Ministero ha precisato che non può fornire assistenza nella scrittura delle Schede progetto, ma sta affinando gli strumenti di accompagnamento predisposti (organizzando webinar di approfondimento tecnico sulle diverse linee, raccogliendo i quesiti e fornendo risposte anche tramite </w:t>
      </w:r>
      <w:hyperlink r:id="rId8" w:tgtFrame="_blank" w:history="1">
        <w:r w:rsidRPr="00FA2A8B">
          <w:rPr>
            <w:rFonts w:ascii="Bookman Old Style" w:eastAsia="Times New Roman" w:hAnsi="Bookman Old Style" w:cs="Calibri"/>
            <w:b/>
            <w:bCs/>
            <w:color w:val="0000FF"/>
            <w:u w:val="single"/>
          </w:rPr>
          <w:t>FAQ</w:t>
        </w:r>
      </w:hyperlink>
      <w:r w:rsidRPr="00FA2A8B">
        <w:rPr>
          <w:rFonts w:ascii="Bookman Old Style" w:eastAsia="Times New Roman" w:hAnsi="Bookman Old Style" w:cs="Calibri"/>
          <w:color w:val="000000"/>
          <w:bdr w:val="none" w:sz="0" w:space="0" w:color="auto" w:frame="1"/>
          <w:shd w:val="clear" w:color="auto" w:fill="FFFFFF"/>
        </w:rPr>
        <w:t> e </w:t>
      </w:r>
      <w:hyperlink r:id="rId9" w:tgtFrame="_blank" w:tooltip="apri file excel" w:history="1">
        <w:r w:rsidRPr="00FA2A8B">
          <w:rPr>
            <w:rFonts w:ascii="Bookman Old Style" w:eastAsia="Times New Roman" w:hAnsi="Bookman Old Style" w:cs="Calibri"/>
            <w:b/>
            <w:bCs/>
            <w:color w:val="0000FF"/>
            <w:u w:val="single"/>
          </w:rPr>
          <w:t>FAQ Schede progetto</w:t>
        </w:r>
      </w:hyperlink>
      <w:r w:rsidRPr="00FA2A8B">
        <w:rPr>
          <w:rFonts w:ascii="Bookman Old Style" w:eastAsia="Times New Roman" w:hAnsi="Bookman Old Style" w:cs="Calibri"/>
          <w:color w:val="000000"/>
          <w:bdr w:val="none" w:sz="0" w:space="0" w:color="auto" w:frame="1"/>
          <w:shd w:val="clear" w:color="auto" w:fill="FFFFFF"/>
        </w:rPr>
        <w:t>, che renderà più facilmente consultabili e aggiornate settimanalmente).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b/>
          <w:bCs/>
          <w:color w:val="000000"/>
          <w:u w:val="single"/>
          <w:bdr w:val="none" w:sz="0" w:space="0" w:color="auto" w:frame="1"/>
          <w:shd w:val="clear" w:color="auto" w:fill="FFFFFF"/>
        </w:rPr>
        <w:t>Gli Ambiti sono quindi invitati a partecipare ai Webinar ministeriali di approfondimento tecnico, che saranno occasione utile per sottoporre</w:t>
      </w:r>
      <w:r w:rsidRPr="00FA2A8B">
        <w:rPr>
          <w:rFonts w:ascii="Bookman Old Style" w:eastAsia="Times New Roman" w:hAnsi="Bookman Old Style" w:cs="Calibri"/>
          <w:color w:val="000000"/>
          <w:bdr w:val="none" w:sz="0" w:space="0" w:color="auto" w:frame="1"/>
          <w:shd w:val="clear" w:color="auto" w:fill="FFFFFF"/>
        </w:rPr>
        <w:t> al Ministero, all’Unità di Missione</w:t>
      </w:r>
      <w:r w:rsidRPr="00FA2A8B">
        <w:rPr>
          <w:rFonts w:ascii="Bookman Old Style" w:eastAsia="Times New Roman" w:hAnsi="Bookman Old Style" w:cs="Calibri"/>
          <w:color w:val="000000"/>
        </w:rPr>
        <w:t> </w:t>
      </w:r>
      <w:r w:rsidRPr="00FA2A8B">
        <w:rPr>
          <w:rFonts w:ascii="Bookman Old Style" w:eastAsia="Times New Roman" w:hAnsi="Bookman Old Style" w:cs="Calibri"/>
          <w:color w:val="000000"/>
          <w:bdr w:val="none" w:sz="0" w:space="0" w:color="auto" w:frame="1"/>
          <w:shd w:val="clear" w:color="auto" w:fill="FFFFFF"/>
        </w:rPr>
        <w:t>e agli Enti preposti all’accompagnamento tecnico (INAPP, Università di Padova, CNOAS; FIOPSD) </w:t>
      </w:r>
      <w:r w:rsidRPr="00FA2A8B">
        <w:rPr>
          <w:rFonts w:ascii="Bookman Old Style" w:eastAsia="Times New Roman" w:hAnsi="Bookman Old Style" w:cs="Calibri"/>
          <w:b/>
          <w:bCs/>
          <w:color w:val="000000"/>
          <w:u w:val="single"/>
          <w:bdr w:val="none" w:sz="0" w:space="0" w:color="auto" w:frame="1"/>
          <w:shd w:val="clear" w:color="auto" w:fill="FFFFFF"/>
        </w:rPr>
        <w:t>i quesiti specifici relativi alle singole linee di attività</w:t>
      </w:r>
      <w:r w:rsidRPr="00FA2A8B">
        <w:rPr>
          <w:rFonts w:ascii="Bookman Old Style" w:eastAsia="Times New Roman" w:hAnsi="Bookman Old Style" w:cs="Calibri"/>
          <w:color w:val="000000"/>
          <w:bdr w:val="none" w:sz="0" w:space="0" w:color="auto" w:frame="1"/>
          <w:shd w:val="clear" w:color="auto" w:fill="FFFFFF"/>
        </w:rPr>
        <w:t>. In particolare, i prossimi Webinar saranno i seguenti: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numPr>
          <w:ilvl w:val="0"/>
          <w:numId w:val="2"/>
        </w:numPr>
        <w:shd w:val="clear" w:color="auto" w:fill="FFFFFF"/>
        <w:spacing w:after="0" w:line="240" w:lineRule="auto"/>
        <w:rPr>
          <w:rFonts w:ascii="Bookman Old Style" w:eastAsia="Times New Roman" w:hAnsi="Bookman Old Style" w:cs="Calibri"/>
          <w:color w:val="000000"/>
        </w:rPr>
      </w:pPr>
      <w:r w:rsidRPr="00FA2A8B">
        <w:rPr>
          <w:rFonts w:ascii="Bookman Old Style" w:eastAsia="Times New Roman" w:hAnsi="Bookman Old Style" w:cs="Calibri"/>
          <w:b/>
          <w:bCs/>
          <w:color w:val="000000"/>
          <w:bdr w:val="none" w:sz="0" w:space="0" w:color="auto" w:frame="1"/>
          <w:shd w:val="clear" w:color="auto" w:fill="FFFFFF"/>
        </w:rPr>
        <w:t>8 luglio 2022 ore 09:30-11:30</w:t>
      </w:r>
      <w:r w:rsidRPr="00FA2A8B">
        <w:rPr>
          <w:rFonts w:ascii="Bookman Old Style" w:eastAsia="Times New Roman" w:hAnsi="Bookman Old Style" w:cs="Calibri"/>
          <w:color w:val="000000"/>
          <w:bdr w:val="none" w:sz="0" w:space="0" w:color="auto" w:frame="1"/>
          <w:shd w:val="clear" w:color="auto" w:fill="FFFFFF"/>
        </w:rPr>
        <w:t>: Webinar su </w:t>
      </w:r>
      <w:r w:rsidRPr="00FA2A8B">
        <w:rPr>
          <w:rFonts w:ascii="Bookman Old Style" w:eastAsia="Times New Roman" w:hAnsi="Bookman Old Style" w:cs="Calibri"/>
          <w:b/>
          <w:bCs/>
          <w:color w:val="000000"/>
          <w:bdr w:val="none" w:sz="0" w:space="0" w:color="auto" w:frame="1"/>
          <w:shd w:val="clear" w:color="auto" w:fill="FFFFFF"/>
        </w:rPr>
        <w:t>Linea di intervento 1.2</w:t>
      </w:r>
      <w:r w:rsidRPr="00FA2A8B">
        <w:rPr>
          <w:rFonts w:ascii="Bookman Old Style" w:eastAsia="Times New Roman" w:hAnsi="Bookman Old Style" w:cs="Calibri"/>
          <w:color w:val="000000"/>
          <w:bdr w:val="none" w:sz="0" w:space="0" w:color="auto" w:frame="1"/>
          <w:shd w:val="clear" w:color="auto" w:fill="FFFFFF"/>
        </w:rPr>
        <w:t> - Percorsi di autonomia per persone con disabilità (</w:t>
      </w:r>
      <w:hyperlink r:id="rId10" w:tgtFrame="_blank" w:history="1">
        <w:r w:rsidRPr="00FA2A8B">
          <w:rPr>
            <w:rFonts w:ascii="Bookman Old Style" w:eastAsia="Times New Roman" w:hAnsi="Bookman Old Style" w:cs="Calibri"/>
            <w:color w:val="0000FF"/>
            <w:u w:val="single"/>
          </w:rPr>
          <w:t>Registrati qui per Partecipare all'Evento</w:t>
        </w:r>
      </w:hyperlink>
      <w:r w:rsidRPr="00FA2A8B">
        <w:rPr>
          <w:rFonts w:ascii="Bookman Old Style" w:eastAsia="Times New Roman" w:hAnsi="Bookman Old Style" w:cs="Calibri"/>
          <w:color w:val="000000"/>
          <w:bdr w:val="none" w:sz="0" w:space="0" w:color="auto" w:frame="1"/>
          <w:shd w:val="clear" w:color="auto" w:fill="FFFFFF"/>
        </w:rPr>
        <w:t>; </w:t>
      </w:r>
      <w:hyperlink r:id="rId11" w:tgtFrame="_blank" w:history="1">
        <w:r w:rsidRPr="00FA2A8B">
          <w:rPr>
            <w:rFonts w:ascii="Bookman Old Style" w:eastAsia="Times New Roman" w:hAnsi="Bookman Old Style" w:cs="Calibri"/>
            <w:color w:val="0000FF"/>
            <w:u w:val="single"/>
          </w:rPr>
          <w:t>Programma</w:t>
        </w:r>
      </w:hyperlink>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numPr>
          <w:ilvl w:val="0"/>
          <w:numId w:val="2"/>
        </w:numPr>
        <w:shd w:val="clear" w:color="auto" w:fill="FFFFFF"/>
        <w:spacing w:after="0" w:line="240" w:lineRule="auto"/>
        <w:rPr>
          <w:rFonts w:ascii="Bookman Old Style" w:eastAsia="Times New Roman" w:hAnsi="Bookman Old Style" w:cs="Calibri"/>
          <w:color w:val="000000"/>
        </w:rPr>
      </w:pPr>
      <w:r w:rsidRPr="00FA2A8B">
        <w:rPr>
          <w:rFonts w:ascii="Bookman Old Style" w:eastAsia="Times New Roman" w:hAnsi="Bookman Old Style" w:cs="Calibri"/>
          <w:b/>
          <w:bCs/>
          <w:color w:val="000000"/>
          <w:bdr w:val="none" w:sz="0" w:space="0" w:color="auto" w:frame="1"/>
          <w:shd w:val="clear" w:color="auto" w:fill="FFFFFF"/>
        </w:rPr>
        <w:t>11 luglio 2022 ore 10:30-12:30</w:t>
      </w:r>
      <w:r w:rsidRPr="00FA2A8B">
        <w:rPr>
          <w:rFonts w:ascii="Bookman Old Style" w:eastAsia="Times New Roman" w:hAnsi="Bookman Old Style" w:cs="Calibri"/>
          <w:color w:val="000000"/>
          <w:bdr w:val="none" w:sz="0" w:space="0" w:color="auto" w:frame="1"/>
          <w:shd w:val="clear" w:color="auto" w:fill="FFFFFF"/>
        </w:rPr>
        <w:t>: Webinar su </w:t>
      </w:r>
      <w:r w:rsidRPr="00FA2A8B">
        <w:rPr>
          <w:rFonts w:ascii="Bookman Old Style" w:eastAsia="Times New Roman" w:hAnsi="Bookman Old Style" w:cs="Calibri"/>
          <w:b/>
          <w:bCs/>
          <w:color w:val="000000"/>
          <w:bdr w:val="none" w:sz="0" w:space="0" w:color="auto" w:frame="1"/>
          <w:shd w:val="clear" w:color="auto" w:fill="FFFFFF"/>
        </w:rPr>
        <w:t>Linea di intervento 1.1.2</w:t>
      </w:r>
      <w:r w:rsidRPr="00FA2A8B">
        <w:rPr>
          <w:rFonts w:ascii="Bookman Old Style" w:eastAsia="Times New Roman" w:hAnsi="Bookman Old Style" w:cs="Calibri"/>
          <w:color w:val="000000"/>
          <w:bdr w:val="none" w:sz="0" w:space="0" w:color="auto" w:frame="1"/>
          <w:shd w:val="clear" w:color="auto" w:fill="FFFFFF"/>
        </w:rPr>
        <w:t> - Autonomia degli anziani non autosufficienti (</w:t>
      </w:r>
      <w:hyperlink r:id="rId12" w:tgtFrame="_blank" w:history="1">
        <w:r w:rsidRPr="00FA2A8B">
          <w:rPr>
            <w:rFonts w:ascii="Bookman Old Style" w:eastAsia="Times New Roman" w:hAnsi="Bookman Old Style" w:cs="Calibri"/>
            <w:color w:val="0000FF"/>
            <w:u w:val="single"/>
          </w:rPr>
          <w:t>Registrati qui per Partecipare all'Evento</w:t>
        </w:r>
      </w:hyperlink>
      <w:r w:rsidRPr="00FA2A8B">
        <w:rPr>
          <w:rFonts w:ascii="Bookman Old Style" w:eastAsia="Times New Roman" w:hAnsi="Bookman Old Style" w:cs="Calibri"/>
          <w:color w:val="000000"/>
          <w:bdr w:val="none" w:sz="0" w:space="0" w:color="auto" w:frame="1"/>
          <w:shd w:val="clear" w:color="auto" w:fill="FFFFFF"/>
        </w:rPr>
        <w:t>; </w:t>
      </w:r>
      <w:hyperlink r:id="rId13" w:tgtFrame="_blank" w:history="1">
        <w:r w:rsidRPr="00FA2A8B">
          <w:rPr>
            <w:rFonts w:ascii="Bookman Old Style" w:eastAsia="Times New Roman" w:hAnsi="Bookman Old Style" w:cs="Calibri"/>
            <w:color w:val="0000FF"/>
            <w:u w:val="single"/>
          </w:rPr>
          <w:t>Programma</w:t>
        </w:r>
      </w:hyperlink>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numPr>
          <w:ilvl w:val="0"/>
          <w:numId w:val="2"/>
        </w:numPr>
        <w:shd w:val="clear" w:color="auto" w:fill="FFFFFF"/>
        <w:spacing w:after="0" w:line="240" w:lineRule="auto"/>
        <w:rPr>
          <w:rFonts w:ascii="Bookman Old Style" w:eastAsia="Times New Roman" w:hAnsi="Bookman Old Style" w:cs="Calibri"/>
          <w:color w:val="000000"/>
        </w:rPr>
      </w:pPr>
      <w:r w:rsidRPr="00FA2A8B">
        <w:rPr>
          <w:rFonts w:ascii="Bookman Old Style" w:eastAsia="Times New Roman" w:hAnsi="Bookman Old Style" w:cs="Calibri"/>
          <w:b/>
          <w:bCs/>
          <w:color w:val="000000"/>
          <w:bdr w:val="none" w:sz="0" w:space="0" w:color="auto" w:frame="1"/>
          <w:shd w:val="clear" w:color="auto" w:fill="FFFFFF"/>
        </w:rPr>
        <w:t>11 luglio 2022 ore 15:30-17:30</w:t>
      </w:r>
      <w:r w:rsidRPr="00FA2A8B">
        <w:rPr>
          <w:rFonts w:ascii="Bookman Old Style" w:eastAsia="Times New Roman" w:hAnsi="Bookman Old Style" w:cs="Calibri"/>
          <w:color w:val="000000"/>
          <w:bdr w:val="none" w:sz="0" w:space="0" w:color="auto" w:frame="1"/>
          <w:shd w:val="clear" w:color="auto" w:fill="FFFFFF"/>
        </w:rPr>
        <w:t>: Webinar su </w:t>
      </w:r>
      <w:r w:rsidRPr="00FA2A8B">
        <w:rPr>
          <w:rFonts w:ascii="Bookman Old Style" w:eastAsia="Times New Roman" w:hAnsi="Bookman Old Style" w:cs="Calibri"/>
          <w:b/>
          <w:bCs/>
          <w:color w:val="000000"/>
          <w:bdr w:val="none" w:sz="0" w:space="0" w:color="auto" w:frame="1"/>
          <w:shd w:val="clear" w:color="auto" w:fill="FFFFFF"/>
        </w:rPr>
        <w:t>Linea di intervento 1.1.3</w:t>
      </w:r>
      <w:r w:rsidRPr="00FA2A8B">
        <w:rPr>
          <w:rFonts w:ascii="Bookman Old Style" w:eastAsia="Times New Roman" w:hAnsi="Bookman Old Style" w:cs="Calibri"/>
          <w:color w:val="000000"/>
          <w:bdr w:val="none" w:sz="0" w:space="0" w:color="auto" w:frame="1"/>
          <w:shd w:val="clear" w:color="auto" w:fill="FFFFFF"/>
        </w:rPr>
        <w:t> - Rafforzamento dei servizi sociali a favore della domiciliarità (</w:t>
      </w:r>
      <w:hyperlink r:id="rId14" w:tgtFrame="_blank" w:history="1">
        <w:r w:rsidRPr="00FA2A8B">
          <w:rPr>
            <w:rFonts w:ascii="Bookman Old Style" w:eastAsia="Times New Roman" w:hAnsi="Bookman Old Style" w:cs="Calibri"/>
            <w:color w:val="0000FF"/>
            <w:u w:val="single"/>
          </w:rPr>
          <w:t>Registrati qui per Partecipare all'Evento</w:t>
        </w:r>
      </w:hyperlink>
      <w:r w:rsidRPr="00FA2A8B">
        <w:rPr>
          <w:rFonts w:ascii="Bookman Old Style" w:eastAsia="Times New Roman" w:hAnsi="Bookman Old Style" w:cs="Calibri"/>
          <w:color w:val="000000"/>
          <w:bdr w:val="none" w:sz="0" w:space="0" w:color="auto" w:frame="1"/>
          <w:shd w:val="clear" w:color="auto" w:fill="FFFFFF"/>
        </w:rPr>
        <w:t>; </w:t>
      </w:r>
      <w:hyperlink r:id="rId15" w:tgtFrame="_blank" w:history="1">
        <w:r w:rsidRPr="00FA2A8B">
          <w:rPr>
            <w:rFonts w:ascii="Bookman Old Style" w:eastAsia="Times New Roman" w:hAnsi="Bookman Old Style" w:cs="Calibri"/>
            <w:color w:val="0000FF"/>
            <w:u w:val="single"/>
          </w:rPr>
          <w:t>Program</w:t>
        </w:r>
      </w:hyperlink>
      <w:hyperlink r:id="rId16" w:tgtFrame="_blank" w:history="1">
        <w:r w:rsidRPr="00FA2A8B">
          <w:rPr>
            <w:rFonts w:ascii="Bookman Old Style" w:eastAsia="Times New Roman" w:hAnsi="Bookman Old Style" w:cs="Calibri"/>
            <w:color w:val="0000FF"/>
            <w:u w:val="single"/>
          </w:rPr>
          <w:t>ma</w:t>
        </w:r>
      </w:hyperlink>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Il 21 e 23 giugno 2022 si sono svolti </w:t>
      </w:r>
      <w:r w:rsidRPr="00FA2A8B">
        <w:rPr>
          <w:rFonts w:ascii="Bookman Old Style" w:eastAsia="Times New Roman" w:hAnsi="Bookman Old Style" w:cs="Calibri"/>
          <w:b/>
          <w:bCs/>
          <w:color w:val="000000"/>
          <w:bdr w:val="none" w:sz="0" w:space="0" w:color="auto" w:frame="1"/>
          <w:shd w:val="clear" w:color="auto" w:fill="FFFFFF"/>
        </w:rPr>
        <w:t>i primi webinar sulle linee di finanziamento 1.3.1. Housing temporaneo e 1.3.2. Stazioni di posta e Centri di servizio</w:t>
      </w:r>
      <w:r w:rsidRPr="00FA2A8B">
        <w:rPr>
          <w:rFonts w:ascii="Bookman Old Style" w:eastAsia="Times New Roman" w:hAnsi="Bookman Old Style" w:cs="Calibri"/>
          <w:color w:val="000000"/>
          <w:bdr w:val="none" w:sz="0" w:space="0" w:color="auto" w:frame="1"/>
          <w:shd w:val="clear" w:color="auto" w:fill="FFFFFF"/>
        </w:rPr>
        <w:t> (nella </w:t>
      </w:r>
      <w:hyperlink r:id="rId17" w:tgtFrame="_blank" w:tooltip="vai alla news" w:history="1">
        <w:r w:rsidRPr="00FA2A8B">
          <w:rPr>
            <w:rFonts w:ascii="Bookman Old Style" w:eastAsia="Times New Roman" w:hAnsi="Bookman Old Style" w:cs="Calibri"/>
            <w:color w:val="0000FF"/>
            <w:u w:val="single"/>
          </w:rPr>
          <w:t>news del 27 giugno</w:t>
        </w:r>
      </w:hyperlink>
      <w:r w:rsidRPr="00FA2A8B">
        <w:rPr>
          <w:rFonts w:ascii="Bookman Old Style" w:eastAsia="Times New Roman" w:hAnsi="Bookman Old Style" w:cs="Calibri"/>
          <w:color w:val="000000"/>
          <w:bdr w:val="none" w:sz="0" w:space="0" w:color="auto" w:frame="1"/>
          <w:shd w:val="clear" w:color="auto" w:fill="FFFFFF"/>
        </w:rPr>
        <w:t> sono disponibili i relativi video e slide presentate).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b/>
          <w:bCs/>
          <w:color w:val="000000"/>
          <w:u w:val="single"/>
          <w:bdr w:val="none" w:sz="0" w:space="0" w:color="auto" w:frame="1"/>
          <w:shd w:val="clear" w:color="auto" w:fill="FFFFFF"/>
        </w:rPr>
        <w:t>Nel form di registrazione ai Webinar</w:t>
      </w:r>
      <w:r w:rsidRPr="00FA2A8B">
        <w:rPr>
          <w:rFonts w:ascii="Bookman Old Style" w:eastAsia="Times New Roman" w:hAnsi="Bookman Old Style" w:cs="Calibri"/>
          <w:color w:val="000000"/>
          <w:u w:val="single"/>
          <w:bdr w:val="none" w:sz="0" w:space="0" w:color="auto" w:frame="1"/>
          <w:shd w:val="clear" w:color="auto" w:fill="FFFFFF"/>
        </w:rPr>
        <w:t>, inoltre, </w:t>
      </w:r>
      <w:r w:rsidRPr="00FA2A8B">
        <w:rPr>
          <w:rFonts w:ascii="Bookman Old Style" w:eastAsia="Times New Roman" w:hAnsi="Bookman Old Style" w:cs="Calibri"/>
          <w:b/>
          <w:bCs/>
          <w:color w:val="000000"/>
          <w:u w:val="single"/>
          <w:bdr w:val="none" w:sz="0" w:space="0" w:color="auto" w:frame="1"/>
          <w:shd w:val="clear" w:color="auto" w:fill="FFFFFF"/>
        </w:rPr>
        <w:t>è già possibile porre domande relative alle Schede progetto</w:t>
      </w:r>
      <w:r w:rsidRPr="00FA2A8B">
        <w:rPr>
          <w:rFonts w:ascii="Bookman Old Style" w:eastAsia="Times New Roman" w:hAnsi="Bookman Old Style" w:cs="Calibri"/>
          <w:color w:val="000000"/>
          <w:bdr w:val="none" w:sz="0" w:space="0" w:color="auto" w:frame="1"/>
          <w:shd w:val="clear" w:color="auto" w:fill="FFFFFF"/>
        </w:rPr>
        <w:t>, fermo restando quanto già pubblicato nelle FAQ presenti sul sito del Ministero.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Una volta completata la procedura di iscrizione, fornendo come riferimento una mail valida NON PEC, si riceverà una conferma di avvenuta iscrizione ed il link per partecipare al webinar.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Nel corso del webinar, le eventuali domande che arriveranno via chat saranno prese in carico e inoltrate all’Unità di missione che elaborerà le risposte e le pubblicherà con le FAQ nel sito del ministero.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Infine, si ricorda che </w:t>
      </w:r>
      <w:r w:rsidRPr="00FA2A8B">
        <w:rPr>
          <w:rFonts w:ascii="Bookman Old Style" w:eastAsia="Times New Roman" w:hAnsi="Bookman Old Style" w:cs="Calibri"/>
          <w:color w:val="000000"/>
          <w:u w:val="single"/>
          <w:bdr w:val="none" w:sz="0" w:space="0" w:color="auto" w:frame="1"/>
          <w:shd w:val="clear" w:color="auto" w:fill="FFFFFF"/>
        </w:rPr>
        <w:t>per la presentazione di </w:t>
      </w:r>
      <w:r w:rsidRPr="00FA2A8B">
        <w:rPr>
          <w:rFonts w:ascii="Bookman Old Style" w:eastAsia="Times New Roman" w:hAnsi="Bookman Old Style" w:cs="Calibri"/>
          <w:b/>
          <w:bCs/>
          <w:color w:val="000000"/>
          <w:u w:val="single"/>
          <w:bdr w:val="none" w:sz="0" w:space="0" w:color="auto" w:frame="1"/>
          <w:shd w:val="clear" w:color="auto" w:fill="FFFFFF"/>
        </w:rPr>
        <w:t>quesiti</w:t>
      </w:r>
      <w:r w:rsidRPr="00FA2A8B">
        <w:rPr>
          <w:rFonts w:ascii="Bookman Old Style" w:eastAsia="Times New Roman" w:hAnsi="Bookman Old Style" w:cs="Calibri"/>
          <w:color w:val="000000"/>
          <w:bdr w:val="none" w:sz="0" w:space="0" w:color="auto" w:frame="1"/>
          <w:shd w:val="clear" w:color="auto" w:fill="FFFFFF"/>
        </w:rPr>
        <w:t> sono stati attivati dal Ministero due canali: </w:t>
      </w:r>
    </w:p>
    <w:p w:rsidR="00FA2A8B" w:rsidRPr="00FA2A8B" w:rsidRDefault="00FA2A8B" w:rsidP="00FA2A8B">
      <w:p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numPr>
          <w:ilvl w:val="0"/>
          <w:numId w:val="3"/>
        </w:num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color w:val="000000"/>
          <w:bdr w:val="none" w:sz="0" w:space="0" w:color="auto" w:frame="1"/>
          <w:shd w:val="clear" w:color="auto" w:fill="FFFFFF"/>
        </w:rPr>
        <w:t>la </w:t>
      </w:r>
      <w:r w:rsidRPr="00FA2A8B">
        <w:rPr>
          <w:rFonts w:ascii="Bookman Old Style" w:eastAsia="Times New Roman" w:hAnsi="Bookman Old Style" w:cs="Calibri"/>
          <w:b/>
          <w:bCs/>
          <w:color w:val="000000"/>
          <w:bdr w:val="none" w:sz="0" w:space="0" w:color="auto" w:frame="1"/>
          <w:shd w:val="clear" w:color="auto" w:fill="FFFFFF"/>
        </w:rPr>
        <w:t>Direzione Generale per la lotta alla povertà e per la programmazione sociale</w:t>
      </w:r>
      <w:r w:rsidRPr="00FA2A8B">
        <w:rPr>
          <w:rFonts w:ascii="Bookman Old Style" w:eastAsia="Times New Roman" w:hAnsi="Bookman Old Style" w:cs="Calibri"/>
          <w:color w:val="000000"/>
          <w:bdr w:val="none" w:sz="0" w:space="0" w:color="auto" w:frame="1"/>
          <w:shd w:val="clear" w:color="auto" w:fill="FFFFFF"/>
        </w:rPr>
        <w:t> fornisce supporto tecnico agli ATS </w:t>
      </w:r>
      <w:r w:rsidRPr="00FA2A8B">
        <w:rPr>
          <w:rFonts w:ascii="Bookman Old Style" w:eastAsia="Times New Roman" w:hAnsi="Bookman Old Style" w:cs="Calibri"/>
          <w:b/>
          <w:bCs/>
          <w:color w:val="000000"/>
          <w:bdr w:val="none" w:sz="0" w:space="0" w:color="auto" w:frame="1"/>
          <w:shd w:val="clear" w:color="auto" w:fill="FFFFFF"/>
        </w:rPr>
        <w:t>limitatamente ai quesiti metodologici generali </w:t>
      </w:r>
      <w:r w:rsidRPr="00FA2A8B">
        <w:rPr>
          <w:rFonts w:ascii="Bookman Old Style" w:eastAsia="Times New Roman" w:hAnsi="Bookman Old Style" w:cs="Calibri"/>
          <w:color w:val="000000"/>
          <w:bdr w:val="none" w:sz="0" w:space="0" w:color="auto" w:frame="1"/>
          <w:shd w:val="clear" w:color="auto" w:fill="FFFFFF"/>
        </w:rPr>
        <w:t>relativi alle azioni definite nelle schede progetto e mediante risposta a specifici quesiti da inviare esclusivamente tramite Posta Elettronica Certificata all'indirizzo </w:t>
      </w:r>
      <w:hyperlink r:id="rId18" w:tgtFrame="_blank" w:history="1">
        <w:r w:rsidRPr="00FA2A8B">
          <w:rPr>
            <w:rFonts w:ascii="Bookman Old Style" w:eastAsia="Times New Roman" w:hAnsi="Bookman Old Style" w:cs="Calibri"/>
            <w:b/>
            <w:bCs/>
            <w:color w:val="0000FF"/>
            <w:u w:val="single"/>
          </w:rPr>
          <w:t>dginclusione.divisione4@pec.lavoro.gov.it</w:t>
        </w:r>
      </w:hyperlink>
      <w:r w:rsidRPr="00FA2A8B">
        <w:rPr>
          <w:rFonts w:ascii="Bookman Old Style" w:eastAsia="Times New Roman" w:hAnsi="Bookman Old Style" w:cs="Calibri"/>
          <w:color w:val="000000"/>
          <w:bdr w:val="none" w:sz="0" w:space="0" w:color="auto" w:frame="1"/>
          <w:shd w:val="clear" w:color="auto" w:fill="FFFFFF"/>
        </w:rPr>
        <w:t> e riportare come oggetto: "Avviso n.1/2022 – QUESITO M5C2 e a seguire la denominazione degli investimenti oggetto della richiesta". Prima di inviare qualsiasi quesito è opportuno </w:t>
      </w:r>
      <w:r w:rsidRPr="00FA2A8B">
        <w:rPr>
          <w:rFonts w:ascii="Bookman Old Style" w:eastAsia="Times New Roman" w:hAnsi="Bookman Old Style" w:cs="Calibri"/>
          <w:b/>
          <w:bCs/>
          <w:color w:val="000000"/>
          <w:bdr w:val="none" w:sz="0" w:space="0" w:color="auto" w:frame="1"/>
          <w:shd w:val="clear" w:color="auto" w:fill="FFFFFF"/>
        </w:rPr>
        <w:t>visionare le </w:t>
      </w:r>
      <w:hyperlink r:id="rId19" w:tgtFrame="_blank" w:history="1">
        <w:r w:rsidRPr="00FA2A8B">
          <w:rPr>
            <w:rFonts w:ascii="Bookman Old Style" w:eastAsia="Times New Roman" w:hAnsi="Bookman Old Style" w:cs="Calibri"/>
            <w:b/>
            <w:bCs/>
            <w:color w:val="0000FF"/>
            <w:u w:val="single"/>
          </w:rPr>
          <w:t>FAQ</w:t>
        </w:r>
      </w:hyperlink>
      <w:r w:rsidRPr="00FA2A8B">
        <w:rPr>
          <w:rFonts w:ascii="Bookman Old Style" w:eastAsia="Times New Roman" w:hAnsi="Bookman Old Style" w:cs="Calibri"/>
          <w:b/>
          <w:bCs/>
          <w:color w:val="000000"/>
          <w:bdr w:val="none" w:sz="0" w:space="0" w:color="auto" w:frame="1"/>
          <w:shd w:val="clear" w:color="auto" w:fill="FFFFFF"/>
        </w:rPr>
        <w:t> già pubblicate sul </w:t>
      </w:r>
      <w:hyperlink r:id="rId20" w:tgtFrame="_blank" w:history="1">
        <w:r w:rsidRPr="00FA2A8B">
          <w:rPr>
            <w:rFonts w:ascii="Bookman Old Style" w:eastAsia="Times New Roman" w:hAnsi="Bookman Old Style" w:cs="Calibri"/>
            <w:b/>
            <w:bCs/>
            <w:color w:val="0000FF"/>
            <w:u w:val="single"/>
          </w:rPr>
          <w:t>sito del Ministero</w:t>
        </w:r>
      </w:hyperlink>
      <w:r w:rsidRPr="00FA2A8B">
        <w:rPr>
          <w:rFonts w:ascii="Bookman Old Style" w:eastAsia="Times New Roman" w:hAnsi="Bookman Old Style" w:cs="Calibri"/>
          <w:color w:val="000000"/>
          <w:bdr w:val="none" w:sz="0" w:space="0" w:color="auto" w:frame="1"/>
          <w:shd w:val="clear" w:color="auto" w:fill="FFFFFF"/>
        </w:rPr>
        <w:t>; </w:t>
      </w:r>
    </w:p>
    <w:p w:rsidR="00FA2A8B" w:rsidRPr="00FA2A8B" w:rsidRDefault="00FA2A8B" w:rsidP="00FA2A8B">
      <w:pPr>
        <w:numPr>
          <w:ilvl w:val="0"/>
          <w:numId w:val="3"/>
        </w:numPr>
        <w:shd w:val="clear" w:color="auto" w:fill="FFFFFF"/>
        <w:spacing w:after="0" w:line="240" w:lineRule="auto"/>
        <w:jc w:val="both"/>
        <w:rPr>
          <w:rFonts w:ascii="Bookman Old Style" w:eastAsia="Times New Roman" w:hAnsi="Bookman Old Style" w:cs="Calibri"/>
          <w:color w:val="000000"/>
        </w:rPr>
      </w:pPr>
      <w:r w:rsidRPr="00FA2A8B">
        <w:rPr>
          <w:rFonts w:ascii="Bookman Old Style" w:eastAsia="Times New Roman" w:hAnsi="Bookman Old Style" w:cs="Calibri"/>
          <w:b/>
          <w:bCs/>
          <w:color w:val="000000"/>
          <w:bdr w:val="none" w:sz="0" w:space="0" w:color="auto" w:frame="1"/>
          <w:shd w:val="clear" w:color="auto" w:fill="FFFFFF"/>
        </w:rPr>
        <w:t>Ogni altro quesito potrà essere inoltrato all'Amministrazione centrale responsabile del PNRR</w:t>
      </w:r>
      <w:r w:rsidRPr="00FA2A8B">
        <w:rPr>
          <w:rFonts w:ascii="Bookman Old Style" w:eastAsia="Times New Roman" w:hAnsi="Bookman Old Style" w:cs="Calibri"/>
          <w:color w:val="000000"/>
          <w:bdr w:val="none" w:sz="0" w:space="0" w:color="auto" w:frame="1"/>
          <w:shd w:val="clear" w:color="auto" w:fill="FFFFFF"/>
        </w:rPr>
        <w:t> per il Ministero del Lavoro e delle Politiche Sociali (</w:t>
      </w:r>
      <w:r w:rsidRPr="00FA2A8B">
        <w:rPr>
          <w:rFonts w:ascii="Bookman Old Style" w:eastAsia="Times New Roman" w:hAnsi="Bookman Old Style" w:cs="Calibri"/>
          <w:b/>
          <w:bCs/>
          <w:color w:val="000000"/>
          <w:bdr w:val="none" w:sz="0" w:space="0" w:color="auto" w:frame="1"/>
          <w:shd w:val="clear" w:color="auto" w:fill="FFFFFF"/>
        </w:rPr>
        <w:t>Unità di Missione</w:t>
      </w:r>
      <w:r w:rsidRPr="00FA2A8B">
        <w:rPr>
          <w:rFonts w:ascii="Bookman Old Style" w:eastAsia="Times New Roman" w:hAnsi="Bookman Old Style" w:cs="Calibri"/>
          <w:color w:val="000000"/>
          <w:bdr w:val="none" w:sz="0" w:space="0" w:color="auto" w:frame="1"/>
          <w:shd w:val="clear" w:color="auto" w:fill="FFFFFF"/>
        </w:rPr>
        <w:t>) indirizzandolo a </w:t>
      </w:r>
      <w:hyperlink r:id="rId21" w:tgtFrame="_blank" w:history="1">
        <w:r w:rsidRPr="00FA2A8B">
          <w:rPr>
            <w:rFonts w:ascii="Bookman Old Style" w:eastAsia="Times New Roman" w:hAnsi="Bookman Old Style" w:cs="Calibri"/>
            <w:b/>
            <w:bCs/>
            <w:color w:val="0000FF"/>
            <w:u w:val="single"/>
          </w:rPr>
          <w:t>UnitadiMissionePNRR@lavoro.gov.it</w:t>
        </w:r>
      </w:hyperlink>
      <w:r w:rsidRPr="00FA2A8B">
        <w:rPr>
          <w:rFonts w:ascii="Bookman Old Style" w:eastAsia="Times New Roman" w:hAnsi="Bookman Old Style" w:cs="Calibri"/>
          <w:color w:val="000000"/>
          <w:bdr w:val="none" w:sz="0" w:space="0" w:color="auto" w:frame="1"/>
          <w:shd w:val="clear" w:color="auto" w:fill="FFFFFF"/>
        </w:rPr>
        <w:t>, specificando nell'oggetto: "QUESITO M5C2" e a seguire la denominazione degli investimenti oggetto della richiesta. </w:t>
      </w:r>
    </w:p>
    <w:p w:rsidR="00FA3488" w:rsidRDefault="00FA3488" w:rsidP="00FA2A8B">
      <w:pPr>
        <w:spacing w:after="0" w:line="240" w:lineRule="auto"/>
      </w:pPr>
    </w:p>
    <w:sectPr w:rsidR="00FA348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488" w:rsidRDefault="00FA3488" w:rsidP="00FA2A8B">
      <w:pPr>
        <w:spacing w:after="0" w:line="240" w:lineRule="auto"/>
      </w:pPr>
      <w:r>
        <w:separator/>
      </w:r>
    </w:p>
  </w:endnote>
  <w:endnote w:type="continuationSeparator" w:id="1">
    <w:p w:rsidR="00FA3488" w:rsidRDefault="00FA3488" w:rsidP="00FA2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488" w:rsidRDefault="00FA3488" w:rsidP="00FA2A8B">
      <w:pPr>
        <w:spacing w:after="0" w:line="240" w:lineRule="auto"/>
      </w:pPr>
      <w:r>
        <w:separator/>
      </w:r>
    </w:p>
  </w:footnote>
  <w:footnote w:type="continuationSeparator" w:id="1">
    <w:p w:rsidR="00FA3488" w:rsidRDefault="00FA3488" w:rsidP="00FA2A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3345A"/>
    <w:multiLevelType w:val="multilevel"/>
    <w:tmpl w:val="228A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4A66EC"/>
    <w:multiLevelType w:val="multilevel"/>
    <w:tmpl w:val="830A8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9E56C5"/>
    <w:multiLevelType w:val="multilevel"/>
    <w:tmpl w:val="115A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074"/>
  </w:hdrShapeDefaults>
  <w:footnotePr>
    <w:footnote w:id="0"/>
    <w:footnote w:id="1"/>
  </w:footnotePr>
  <w:endnotePr>
    <w:endnote w:id="0"/>
    <w:endnote w:id="1"/>
  </w:endnotePr>
  <w:compat>
    <w:useFELayout/>
  </w:compat>
  <w:rsids>
    <w:rsidRoot w:val="00FA2A8B"/>
    <w:rsid w:val="00FA2A8B"/>
    <w:rsid w:val="00FA34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xmsonormal">
    <w:name w:val="x_x_msonormal"/>
    <w:basedOn w:val="Normale"/>
    <w:rsid w:val="00FA2A8B"/>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FA2A8B"/>
    <w:rPr>
      <w:color w:val="0000FF"/>
      <w:u w:val="single"/>
    </w:rPr>
  </w:style>
  <w:style w:type="paragraph" w:styleId="Intestazione">
    <w:name w:val="header"/>
    <w:basedOn w:val="Normale"/>
    <w:link w:val="IntestazioneCarattere"/>
    <w:uiPriority w:val="99"/>
    <w:semiHidden/>
    <w:unhideWhenUsed/>
    <w:rsid w:val="00FA2A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A2A8B"/>
  </w:style>
  <w:style w:type="paragraph" w:styleId="Pidipagina">
    <w:name w:val="footer"/>
    <w:basedOn w:val="Normale"/>
    <w:link w:val="PidipaginaCarattere"/>
    <w:uiPriority w:val="99"/>
    <w:semiHidden/>
    <w:unhideWhenUsed/>
    <w:rsid w:val="00FA2A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A2A8B"/>
  </w:style>
</w:styles>
</file>

<file path=word/webSettings.xml><?xml version="1.0" encoding="utf-8"?>
<w:webSettings xmlns:r="http://schemas.openxmlformats.org/officeDocument/2006/relationships" xmlns:w="http://schemas.openxmlformats.org/wordprocessingml/2006/main">
  <w:divs>
    <w:div w:id="20625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voro.gov.it/temi-e-priorita/poverta-ed-esclusione-sociale/Documents/FAQ-Avviso-1-2022-PNRR.pdf" TargetMode="External"/><Relationship Id="rId13" Type="http://schemas.openxmlformats.org/officeDocument/2006/relationships/hyperlink" Target="https://mcusercontent.com/ec9090bd7abc65c92748371a6/files/d19cb984-b1da-591f-ce30-2f3c7421008b/Agenda_Autonomia_degli_anziani_non_autosufficienti.pdf" TargetMode="External"/><Relationship Id="rId18" Type="http://schemas.openxmlformats.org/officeDocument/2006/relationships/hyperlink" Target="mailto:dginclusione.divisione4@pec.lavoro.gov.it" TargetMode="External"/><Relationship Id="rId3" Type="http://schemas.openxmlformats.org/officeDocument/2006/relationships/settings" Target="settings.xml"/><Relationship Id="rId21" Type="http://schemas.openxmlformats.org/officeDocument/2006/relationships/hyperlink" Target="mailto:UnitadiMissionePNRR@lavoro.gov.it" TargetMode="External"/><Relationship Id="rId7" Type="http://schemas.openxmlformats.org/officeDocument/2006/relationships/image" Target="media/image1.jpeg"/><Relationship Id="rId12" Type="http://schemas.openxmlformats.org/officeDocument/2006/relationships/hyperlink" Target="https://53.eventilive.myegosrl.it/webinar-informativi-sulle-schede-progetto-nellambito-dellavviso-pubblico-1-22/" TargetMode="External"/><Relationship Id="rId17" Type="http://schemas.openxmlformats.org/officeDocument/2006/relationships/hyperlink" Target="https://www.lavoro.gov.it/notizie/Pagine/Webinar-Avviso-1-2022-PNRR-Housing-temporaneo-e-Stazioni-di-Posta.aspx" TargetMode="External"/><Relationship Id="rId2" Type="http://schemas.openxmlformats.org/officeDocument/2006/relationships/styles" Target="styles.xml"/><Relationship Id="rId16" Type="http://schemas.openxmlformats.org/officeDocument/2006/relationships/hyperlink" Target="https://mcusercontent.com/ec9090bd7abc65c92748371a6/files/36c8ef04-55d2-df45-ba2c-afdd5a6de939/Agenda_Rafforzamento_dei_servizi_sociali_a_favore_della_domiciliarit%C3%A0.pdf" TargetMode="External"/><Relationship Id="rId20" Type="http://schemas.openxmlformats.org/officeDocument/2006/relationships/hyperlink" Target="https://www.lavoro.gov.it/Amministrazione-Trasparente/Bandi-gara-e-contratti/Pagine/Avviso-pubblico-1-2022-PNRR.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cusercontent.com/ec9090bd7abc65c92748371a6/files/76c7a760-6e5d-a75c-e11c-0f391c451558/Agenda_Percorsi_di_autonomia_per_persone_con_disabilit%C3%A0.pdf" TargetMode="External"/><Relationship Id="rId5" Type="http://schemas.openxmlformats.org/officeDocument/2006/relationships/footnotes" Target="footnotes.xml"/><Relationship Id="rId15" Type="http://schemas.openxmlformats.org/officeDocument/2006/relationships/hyperlink" Target="https://mcusercontent.com/ec9090bd7abc65c92748371a6/files/9de2b89f-0e7c-ffcd-d488-9e1b5b069175/Agenda_Rafforzamento_dei_servizi_sociali_a_favore_della_domiciliarit%C3%A0.01.pdf" TargetMode="External"/><Relationship Id="rId23" Type="http://schemas.openxmlformats.org/officeDocument/2006/relationships/theme" Target="theme/theme1.xml"/><Relationship Id="rId10" Type="http://schemas.openxmlformats.org/officeDocument/2006/relationships/hyperlink" Target="https://55.eventilive.myegosrl.it/webinar-informativi-sulle-schede-progetto-nellambito-dellavviso-pubblico-1-22/" TargetMode="External"/><Relationship Id="rId19" Type="http://schemas.openxmlformats.org/officeDocument/2006/relationships/hyperlink" Target="https://www.lavoro.gov.it/temi-e-priorita/poverta-ed-esclusione-sociale/Documents/FAQ-Avviso-1-2022-PNRR.pdf" TargetMode="External"/><Relationship Id="rId4" Type="http://schemas.openxmlformats.org/officeDocument/2006/relationships/webSettings" Target="webSettings.xml"/><Relationship Id="rId9" Type="http://schemas.openxmlformats.org/officeDocument/2006/relationships/hyperlink" Target="https://www.lavoro.gov.it/temi-e-priorita/poverta-ed-esclusione-sociale/Documents/FAQ-Cruscotto-Avviso-1-PNRR.xlsx" TargetMode="External"/><Relationship Id="rId14" Type="http://schemas.openxmlformats.org/officeDocument/2006/relationships/hyperlink" Target="https://54.eventilive.myegosrl.it/webinar-informativi-sulle-schede-progetto-nellambito-dellavviso-pubblico-1-22/"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1208</Words>
  <Characters>6890</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Minicucci</dc:creator>
  <cp:keywords/>
  <dc:description/>
  <cp:lastModifiedBy>Minicucci</cp:lastModifiedBy>
  <cp:revision>2</cp:revision>
  <dcterms:created xsi:type="dcterms:W3CDTF">2022-07-07T11:00:00Z</dcterms:created>
  <dcterms:modified xsi:type="dcterms:W3CDTF">2022-07-07T11:08:00Z</dcterms:modified>
</cp:coreProperties>
</file>